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15" w:rsidRDefault="00057A15" w:rsidP="00057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057A15" w:rsidRDefault="00057A15" w:rsidP="00057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забезпечення інформаційної відкритості </w:t>
      </w:r>
    </w:p>
    <w:p w:rsidR="00057A15" w:rsidRPr="00057A15" w:rsidRDefault="00057A15" w:rsidP="00057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7A15">
        <w:rPr>
          <w:rFonts w:ascii="Times New Roman" w:hAnsi="Times New Roman" w:cs="Times New Roman"/>
          <w:b/>
          <w:sz w:val="28"/>
          <w:szCs w:val="28"/>
          <w:lang w:val="uk-UA"/>
        </w:rPr>
        <w:t>веб-сайтів</w:t>
      </w:r>
      <w:proofErr w:type="spellEnd"/>
      <w:r w:rsidRPr="00057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професійно-технічних навчальних закладів</w:t>
      </w:r>
    </w:p>
    <w:p w:rsidR="00057A15" w:rsidRDefault="00057A15" w:rsidP="0090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B1E" w:rsidRPr="00952D45" w:rsidRDefault="00DC0E93" w:rsidP="0090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30 Закону України «Про освіту» з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аклади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мають </w:t>
      </w:r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вати</w:t>
      </w:r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відкриті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загальнодоступні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ресурси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інформацією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свою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оприлюднюють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даний момент таким вимогам відповідає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</w:t>
      </w:r>
      <w:proofErr w:type="spellEnd"/>
      <w:r w:rsidRPr="00E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сайту законом не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цифрову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1E" w:rsidRPr="00952D4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901B1E" w:rsidRPr="00952D45">
        <w:rPr>
          <w:rFonts w:ascii="Times New Roman" w:hAnsi="Times New Roman" w:cs="Times New Roman"/>
          <w:sz w:val="28"/>
          <w:szCs w:val="28"/>
        </w:rPr>
        <w:t xml:space="preserve"> права на доступ.</w:t>
      </w:r>
    </w:p>
    <w:p w:rsidR="00AB7A5A" w:rsidRDefault="00326AD6" w:rsidP="0090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326AD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741F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74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6A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C0E93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C0E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заклад, а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поле для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DC0E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A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6AD6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Дієвий</w:t>
      </w:r>
      <w:proofErr w:type="spellEnd"/>
      <w:r w:rsid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9741F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741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74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6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26AD6">
        <w:rPr>
          <w:rFonts w:ascii="Times New Roman" w:hAnsi="Times New Roman" w:cs="Times New Roman"/>
          <w:sz w:val="28"/>
          <w:szCs w:val="28"/>
        </w:rPr>
        <w:t>.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професійно-технічних навчальних закладів</w:t>
      </w:r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виконувати наступні з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1FA">
        <w:rPr>
          <w:rFonts w:ascii="Times New Roman" w:hAnsi="Times New Roman" w:cs="Times New Roman"/>
          <w:sz w:val="28"/>
          <w:szCs w:val="28"/>
        </w:rPr>
        <w:t xml:space="preserve">оперативно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висвітлювати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1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установи, так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науково-методичними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1F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проектах,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акці</w:t>
      </w:r>
      <w:proofErr w:type="gramStart"/>
      <w:r w:rsidRPr="009741F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 xml:space="preserve"> конкурсах;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1F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>ідно-експериментальної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моніторингової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презентуванти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профтех</w:t>
      </w:r>
      <w:r w:rsidRPr="009741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9741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4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інтерактивної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1F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чати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1FA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F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741FA">
        <w:rPr>
          <w:rFonts w:ascii="Times New Roman" w:hAnsi="Times New Roman" w:cs="Times New Roman"/>
          <w:sz w:val="28"/>
          <w:szCs w:val="28"/>
        </w:rPr>
        <w:t>.</w:t>
      </w:r>
    </w:p>
    <w:p w:rsidR="00301CB5" w:rsidRDefault="00901B1E" w:rsidP="0030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366D">
        <w:rPr>
          <w:rFonts w:ascii="Times New Roman" w:hAnsi="Times New Roman" w:cs="Times New Roman"/>
          <w:sz w:val="28"/>
          <w:szCs w:val="28"/>
          <w:lang w:val="uk-UA"/>
        </w:rPr>
        <w:t xml:space="preserve">таття 30 Закону України «Про освіту» </w:t>
      </w:r>
      <w:proofErr w:type="spellStart"/>
      <w:r w:rsidR="00301CB5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301CB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301CB5">
        <w:rPr>
          <w:rFonts w:ascii="Times New Roman" w:hAnsi="Times New Roman" w:cs="Times New Roman"/>
          <w:sz w:val="28"/>
          <w:szCs w:val="28"/>
          <w:lang w:val="uk-UA"/>
        </w:rPr>
        <w:t>язує</w:t>
      </w:r>
      <w:proofErr w:type="spellEnd"/>
      <w:r w:rsidR="00301CB5">
        <w:rPr>
          <w:rFonts w:ascii="Times New Roman" w:hAnsi="Times New Roman" w:cs="Times New Roman"/>
          <w:sz w:val="28"/>
          <w:szCs w:val="28"/>
          <w:lang w:val="uk-UA"/>
        </w:rPr>
        <w:t xml:space="preserve"> заклади освіти, що мають ліцензію на провадження освітньої діяльності, забезпечувати на своїх </w:t>
      </w:r>
      <w:proofErr w:type="spellStart"/>
      <w:r w:rsidR="00301CB5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="00301CB5">
        <w:rPr>
          <w:rFonts w:ascii="Times New Roman" w:hAnsi="Times New Roman" w:cs="Times New Roman"/>
          <w:sz w:val="28"/>
          <w:szCs w:val="28"/>
          <w:lang w:val="uk-UA"/>
        </w:rPr>
        <w:t xml:space="preserve"> (у разі їх відсутності – на </w:t>
      </w:r>
      <w:proofErr w:type="spellStart"/>
      <w:r w:rsidR="00301CB5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="00301CB5">
        <w:rPr>
          <w:rFonts w:ascii="Times New Roman" w:hAnsi="Times New Roman" w:cs="Times New Roman"/>
          <w:sz w:val="28"/>
          <w:szCs w:val="28"/>
          <w:lang w:val="uk-UA"/>
        </w:rPr>
        <w:t xml:space="preserve"> своїх засновників) відкритий доступ до інформації та документів:</w:t>
      </w:r>
    </w:p>
    <w:p w:rsidR="00057A15" w:rsidRDefault="00057A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7A15" w:rsidRDefault="00057A15" w:rsidP="00057A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C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татут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>іцензії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сертифікати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акредитацію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сертифікат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інституційну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акредитацію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вищої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CB5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органи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кадровий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 закладу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згідно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ліцензійними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умовами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реалізуються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перелі</w:t>
      </w:r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</w:t>
      </w:r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ітніх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компонентів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освітньою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закріплена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за закладом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416F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ліцензійний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обсяг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фактична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навчаються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вакантних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посад, порядок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заміщення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згідно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ліцензійними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умовами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та/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мистецької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гуртожитків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вільних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у них,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розмі</w:t>
      </w:r>
      <w:proofErr w:type="gram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оплати за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>ічний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прийому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CB5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потребами;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розмі</w:t>
      </w:r>
      <w:proofErr w:type="gram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плати за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підготовку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перепідготовку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підвищення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кваліфікації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здобувачів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CB5" w:rsidRP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додаткових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ціну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01CB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01CB5">
        <w:rPr>
          <w:rFonts w:ascii="Times New Roman" w:eastAsia="Times New Roman" w:hAnsi="Times New Roman" w:cs="Times New Roman"/>
          <w:sz w:val="28"/>
          <w:szCs w:val="28"/>
        </w:rPr>
        <w:t xml:space="preserve"> та оплати;</w:t>
      </w:r>
    </w:p>
    <w:p w:rsidR="00301CB5" w:rsidRDefault="00301CB5" w:rsidP="00301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іншу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оприлюднюється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ішенням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вимогу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301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48AD" w:rsidRPr="001A2FF5" w:rsidRDefault="001A2FF5" w:rsidP="001A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F5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закладу, як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складна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система. При </w:t>
      </w:r>
      <w:r w:rsidR="001C19A7">
        <w:rPr>
          <w:rFonts w:ascii="Times New Roman" w:hAnsi="Times New Roman" w:cs="Times New Roman"/>
          <w:sz w:val="28"/>
          <w:szCs w:val="28"/>
          <w:lang w:val="uk-UA"/>
        </w:rPr>
        <w:t xml:space="preserve">додаванні інформації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врах</w:t>
      </w:r>
      <w:r w:rsidR="001C19A7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1A2FF5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: кому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1A2FF5" w:rsidRPr="001A2FF5" w:rsidRDefault="001A2FF5" w:rsidP="001A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F5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сайту.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працюючим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той ресурс,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тих, для кого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FF5" w:rsidRPr="001A2FF5" w:rsidRDefault="001A2FF5" w:rsidP="001A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7DE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477D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4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7DE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1C1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FF5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1A2FF5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чином: </w:t>
      </w:r>
    </w:p>
    <w:p w:rsidR="001A2FF5" w:rsidRPr="001A2FF5" w:rsidRDefault="001A2FF5" w:rsidP="001A2F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атьки</w:t>
      </w:r>
      <w:proofErr w:type="spellEnd"/>
      <w:r w:rsidRPr="001A2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1A2F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2F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04" w:rsidRDefault="001A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) у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зараз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до закладу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ипускники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. </w:t>
      </w:r>
      <w:r w:rsidR="00B95C04">
        <w:rPr>
          <w:rFonts w:ascii="Times New Roman" w:hAnsi="Times New Roman" w:cs="Times New Roman"/>
          <w:sz w:val="28"/>
          <w:szCs w:val="28"/>
        </w:rPr>
        <w:br w:type="page"/>
      </w:r>
    </w:p>
    <w:p w:rsidR="001A2FF5" w:rsidRPr="001A2FF5" w:rsidRDefault="00B95C04" w:rsidP="00B95C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1A2FF5" w:rsidRPr="001A2FF5" w:rsidRDefault="001A2FF5" w:rsidP="001A2F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ерівництво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: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дміністрація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ргани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1A2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FF5" w:rsidRPr="001A2FF5" w:rsidRDefault="001A2FF5" w:rsidP="001A2F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="00A4732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едагогічний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: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икладачі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олеги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икладачі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4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4F5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44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F5" w:rsidRDefault="001A2FF5" w:rsidP="001A2F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) п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артнери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: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ультурно-освітні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ілові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рацівники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2F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икладачі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схожого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FF5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1A2FF5">
        <w:rPr>
          <w:rFonts w:ascii="Times New Roman" w:hAnsi="Times New Roman" w:cs="Times New Roman"/>
          <w:sz w:val="28"/>
          <w:szCs w:val="28"/>
        </w:rPr>
        <w:t>.</w:t>
      </w:r>
    </w:p>
    <w:p w:rsidR="00E41C2E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Цей список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9A7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сайту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структурувати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закладу. Хороший сайт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ясну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зрозумілу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структуру, 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2B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бути представлено два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: нормативна та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варіативна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A15" w:rsidRDefault="00E614DC" w:rsidP="004F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ідентичний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закладу: 1.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). 2.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установи (статут, </w:t>
      </w:r>
      <w:r w:rsidR="00AB7A5A">
        <w:rPr>
          <w:rFonts w:ascii="Times New Roman" w:hAnsi="Times New Roman" w:cs="Times New Roman"/>
          <w:sz w:val="28"/>
          <w:szCs w:val="28"/>
          <w:lang w:val="uk-UA"/>
        </w:rPr>
        <w:t xml:space="preserve">ліцензії, </w:t>
      </w:r>
      <w:proofErr w:type="gramStart"/>
      <w:r w:rsidR="00AB7A5A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AB7A5A">
        <w:rPr>
          <w:rFonts w:ascii="Times New Roman" w:hAnsi="Times New Roman" w:cs="Times New Roman"/>
          <w:sz w:val="28"/>
          <w:szCs w:val="28"/>
          <w:lang w:val="uk-UA"/>
        </w:rPr>
        <w:t xml:space="preserve">ідоцтва про атестацію,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план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т.д.).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Варіативна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для кожного конкретного закладу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ідністю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5A" w:rsidRDefault="00E614DC" w:rsidP="00E4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2. Методична та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ідно-експериментальна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робота.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4. Система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5A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навчально-дослідна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14DC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E41C2E">
        <w:rPr>
          <w:rFonts w:ascii="Times New Roman" w:hAnsi="Times New Roman" w:cs="Times New Roman"/>
          <w:sz w:val="28"/>
          <w:szCs w:val="28"/>
          <w:lang w:val="uk-UA"/>
        </w:rPr>
        <w:t>е бути</w:t>
      </w:r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r w:rsidR="00E41C2E">
        <w:rPr>
          <w:rFonts w:ascii="Times New Roman" w:hAnsi="Times New Roman" w:cs="Times New Roman"/>
          <w:sz w:val="28"/>
          <w:szCs w:val="28"/>
          <w:lang w:val="uk-UA"/>
        </w:rPr>
        <w:t>доповнений відповідно до особливостей діяльності закладу освіти</w:t>
      </w:r>
      <w:r w:rsidRPr="00E614DC">
        <w:rPr>
          <w:rFonts w:ascii="Times New Roman" w:hAnsi="Times New Roman" w:cs="Times New Roman"/>
          <w:sz w:val="28"/>
          <w:szCs w:val="28"/>
        </w:rPr>
        <w:t>.</w:t>
      </w:r>
    </w:p>
    <w:p w:rsidR="00E614DC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один принцип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структуризації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статичного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4DC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статичним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оновлюється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про закла</w:t>
      </w:r>
      <w:r w:rsidR="004F5E44">
        <w:rPr>
          <w:rFonts w:ascii="Times New Roman" w:hAnsi="Times New Roman" w:cs="Times New Roman"/>
          <w:sz w:val="28"/>
          <w:szCs w:val="28"/>
        </w:rPr>
        <w:t xml:space="preserve">д – </w:t>
      </w:r>
      <w:proofErr w:type="spellStart"/>
      <w:r w:rsidR="004F5E44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4F5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E44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="004F5E44">
        <w:rPr>
          <w:rFonts w:ascii="Times New Roman" w:hAnsi="Times New Roman" w:cs="Times New Roman"/>
          <w:sz w:val="28"/>
          <w:szCs w:val="28"/>
        </w:rPr>
        <w:t xml:space="preserve"> </w:t>
      </w:r>
      <w:r w:rsidR="004F5E44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Статичний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ядро сайту закладу,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4DC" w:rsidRDefault="00E614DC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самим собою,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темпом,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регулярністю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C04" w:rsidRDefault="00E614DC">
      <w:pPr>
        <w:rPr>
          <w:rFonts w:ascii="Times New Roman" w:hAnsi="Times New Roman" w:cs="Times New Roman"/>
          <w:sz w:val="28"/>
          <w:szCs w:val="28"/>
        </w:rPr>
      </w:pPr>
      <w:r w:rsidRPr="00E614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614D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новин».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 (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закладу) </w:t>
      </w:r>
      <w:r w:rsidR="00B95C04">
        <w:rPr>
          <w:rFonts w:ascii="Times New Roman" w:hAnsi="Times New Roman" w:cs="Times New Roman"/>
          <w:sz w:val="28"/>
          <w:szCs w:val="28"/>
        </w:rPr>
        <w:br w:type="page"/>
      </w:r>
    </w:p>
    <w:p w:rsidR="00B95C04" w:rsidRDefault="00B95C04" w:rsidP="00B95C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E614DC" w:rsidRDefault="00E614DC" w:rsidP="00B9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сайту, «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про сайт у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відношеннях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r w:rsidR="00E41C2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над сайтом. Головна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місячної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давності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новиною.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того, «</w:t>
      </w:r>
      <w:proofErr w:type="spellStart"/>
      <w:proofErr w:type="gramStart"/>
      <w:r w:rsidRPr="00E614D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614DC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безперервна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новинами не повинно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D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614DC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1C19A7" w:rsidRDefault="001C19A7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урахуванням вищезазначеного пропонуємо таку структуру розташування інформації: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BD4DCB" w:rsidTr="00BD4DCB">
        <w:tc>
          <w:tcPr>
            <w:tcW w:w="4927" w:type="dxa"/>
          </w:tcPr>
          <w:p w:rsidR="00BD4DCB" w:rsidRPr="004F5E44" w:rsidRDefault="00BD4DCB" w:rsidP="0004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4928" w:type="dxa"/>
          </w:tcPr>
          <w:p w:rsidR="00BD4DCB" w:rsidRPr="004F5E44" w:rsidRDefault="00D20279" w:rsidP="0004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</w:t>
            </w:r>
          </w:p>
        </w:tc>
      </w:tr>
      <w:tr w:rsidR="000466E5" w:rsidTr="00BD4DCB">
        <w:tc>
          <w:tcPr>
            <w:tcW w:w="4927" w:type="dxa"/>
            <w:vMerge w:val="restart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навчальний заклад</w:t>
            </w:r>
          </w:p>
        </w:tc>
        <w:tc>
          <w:tcPr>
            <w:tcW w:w="4928" w:type="dxa"/>
          </w:tcPr>
          <w:p w:rsidR="000466E5" w:rsidRPr="00901B1E" w:rsidRDefault="000466E5" w:rsidP="00BD4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Кадровий склад 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D20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r w:rsidR="00D20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466E5" w:rsidTr="00BD4DCB">
        <w:tc>
          <w:tcPr>
            <w:tcW w:w="4927" w:type="dxa"/>
            <w:vMerge w:val="restart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інформація</w:t>
            </w: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закупівлі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звіти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Вакантні посади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 послуги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D20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r w:rsidR="00D20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466E5" w:rsidTr="00BD4DCB">
        <w:tc>
          <w:tcPr>
            <w:tcW w:w="4927" w:type="dxa"/>
            <w:vMerge w:val="restart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Вступнику </w:t>
            </w: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прийому до закладу освіти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для вступу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Ліцензії та свідоцтва</w:t>
            </w:r>
          </w:p>
        </w:tc>
      </w:tr>
      <w:tr w:rsidR="000466E5" w:rsidTr="00BD4DCB">
        <w:tc>
          <w:tcPr>
            <w:tcW w:w="4927" w:type="dxa"/>
            <w:vMerge/>
          </w:tcPr>
          <w:p w:rsidR="000466E5" w:rsidRPr="00901B1E" w:rsidRDefault="000466E5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466E5" w:rsidRPr="00901B1E" w:rsidRDefault="00901B1E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освітні послуги</w:t>
            </w:r>
          </w:p>
        </w:tc>
      </w:tr>
      <w:tr w:rsidR="00C70C60" w:rsidTr="00BD4DCB">
        <w:tc>
          <w:tcPr>
            <w:tcW w:w="4927" w:type="dxa"/>
            <w:vMerge/>
          </w:tcPr>
          <w:p w:rsidR="00C70C60" w:rsidRPr="00901B1E" w:rsidRDefault="00C70C60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C70C60" w:rsidRPr="00901B1E" w:rsidRDefault="00901B1E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плати за навчання</w:t>
            </w:r>
          </w:p>
        </w:tc>
      </w:tr>
      <w:tr w:rsidR="00901B1E" w:rsidTr="004F5E44">
        <w:tc>
          <w:tcPr>
            <w:tcW w:w="4927" w:type="dxa"/>
            <w:vMerge/>
            <w:tcBorders>
              <w:bottom w:val="single" w:sz="4" w:space="0" w:color="auto"/>
            </w:tcBorders>
          </w:tcPr>
          <w:p w:rsidR="00901B1E" w:rsidRPr="00901B1E" w:rsidRDefault="00901B1E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901B1E" w:rsidRPr="00901B1E" w:rsidRDefault="00901B1E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</w:p>
        </w:tc>
      </w:tr>
      <w:tr w:rsidR="004F5E44" w:rsidTr="00212064">
        <w:tc>
          <w:tcPr>
            <w:tcW w:w="4927" w:type="dxa"/>
            <w:vMerge w:val="restart"/>
            <w:tcBorders>
              <w:top w:val="single" w:sz="4" w:space="0" w:color="auto"/>
            </w:tcBorders>
          </w:tcPr>
          <w:p w:rsidR="004F5E44" w:rsidRPr="00901B1E" w:rsidRDefault="004F5E44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4F5E44" w:rsidRPr="00901B1E" w:rsidRDefault="004F5E44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Е-заява</w:t>
            </w:r>
          </w:p>
        </w:tc>
      </w:tr>
      <w:tr w:rsidR="004F5E44" w:rsidTr="00212064">
        <w:tc>
          <w:tcPr>
            <w:tcW w:w="4927" w:type="dxa"/>
            <w:vMerge/>
            <w:tcBorders>
              <w:bottom w:val="single" w:sz="4" w:space="0" w:color="auto"/>
            </w:tcBorders>
          </w:tcPr>
          <w:p w:rsidR="004F5E44" w:rsidRPr="00901B1E" w:rsidRDefault="004F5E44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F5E44" w:rsidRPr="00901B1E" w:rsidRDefault="004F5E44" w:rsidP="00D20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D81CEB" w:rsidTr="004F5E44">
        <w:tc>
          <w:tcPr>
            <w:tcW w:w="4927" w:type="dxa"/>
            <w:vMerge w:val="restart"/>
            <w:tcBorders>
              <w:top w:val="single" w:sz="4" w:space="0" w:color="auto"/>
            </w:tcBorders>
          </w:tcPr>
          <w:p w:rsidR="00D81CEB" w:rsidRPr="00901B1E" w:rsidRDefault="00D81CEB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4928" w:type="dxa"/>
          </w:tcPr>
          <w:p w:rsidR="00D81CEB" w:rsidRPr="00901B1E" w:rsidRDefault="00D81CEB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якості освітньої діяльності </w:t>
            </w:r>
          </w:p>
        </w:tc>
      </w:tr>
      <w:tr w:rsidR="00D81CEB" w:rsidTr="00BD4DCB">
        <w:tc>
          <w:tcPr>
            <w:tcW w:w="4927" w:type="dxa"/>
            <w:vMerge/>
          </w:tcPr>
          <w:p w:rsidR="00D81CEB" w:rsidRPr="00901B1E" w:rsidRDefault="00D81CEB" w:rsidP="001C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D81CEB" w:rsidRPr="00901B1E" w:rsidRDefault="00D81CEB" w:rsidP="00D202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1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81CEB" w:rsidRDefault="00965FE4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сайтом допомагають</w:t>
      </w:r>
      <w:r w:rsidR="00D81CE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ервіси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відгуків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3426" w:rsidRPr="00C43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426" w:rsidRPr="00C4342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сайту,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авторами сайту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. На сайтах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бути представлено три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серві</w:t>
      </w:r>
      <w:proofErr w:type="gramStart"/>
      <w:r w:rsidR="00C43426" w:rsidRPr="00C43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3426" w:rsidRPr="00C4342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гостьова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426" w:rsidRPr="00C43426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26" w:rsidRPr="00C43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3426" w:rsidRPr="00C43426">
        <w:rPr>
          <w:rFonts w:ascii="Times New Roman" w:hAnsi="Times New Roman" w:cs="Times New Roman"/>
          <w:sz w:val="28"/>
          <w:szCs w:val="28"/>
        </w:rPr>
        <w:t xml:space="preserve"> форум. </w:t>
      </w:r>
    </w:p>
    <w:p w:rsidR="00D81CEB" w:rsidRDefault="00C43426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«Контактна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 w:rsidRPr="00C4342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офіційною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поштовою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скринькою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закладу повинен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доставку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кому вони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скриньок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вони регулярно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65C" w:rsidRDefault="00C43426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Гостьова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книга.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адресованих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авторам сайту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про сайт,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.). Коли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форму в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гостьовій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>ідгук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публікується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>.</w:t>
      </w:r>
    </w:p>
    <w:p w:rsidR="00C43426" w:rsidRDefault="00C43426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426">
        <w:rPr>
          <w:rFonts w:ascii="Times New Roman" w:hAnsi="Times New Roman" w:cs="Times New Roman"/>
          <w:sz w:val="28"/>
          <w:szCs w:val="28"/>
        </w:rPr>
        <w:lastRenderedPageBreak/>
        <w:t xml:space="preserve"> Стандартна структура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гостьової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адресу. 3. Адресу сайту. 4. Населений пункт. 5. Форму для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>. 6. Код.</w:t>
      </w:r>
    </w:p>
    <w:p w:rsidR="00C43426" w:rsidRDefault="00C43426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426">
        <w:rPr>
          <w:rFonts w:ascii="Times New Roman" w:hAnsi="Times New Roman" w:cs="Times New Roman"/>
          <w:sz w:val="28"/>
          <w:szCs w:val="28"/>
        </w:rPr>
        <w:t xml:space="preserve">Форум.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C43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гостьової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gramStart"/>
      <w:r w:rsidRPr="00C434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>ідміну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форум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віртуальним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клубом для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мережевої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На форумах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42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безкарного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форуму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безглуздими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форумі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форумі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426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розпочаті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2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43426">
        <w:rPr>
          <w:rFonts w:ascii="Times New Roman" w:hAnsi="Times New Roman" w:cs="Times New Roman"/>
          <w:sz w:val="28"/>
          <w:szCs w:val="28"/>
        </w:rPr>
        <w:t>.</w:t>
      </w:r>
    </w:p>
    <w:p w:rsidR="00D1515B" w:rsidRDefault="00E41C2E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вашу увагу, що в</w:t>
      </w:r>
      <w:r w:rsidR="002E15E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2E15E9" w:rsidRPr="00952D45">
        <w:rPr>
          <w:rFonts w:ascii="Times New Roman" w:hAnsi="Times New Roman" w:cs="Times New Roman"/>
          <w:sz w:val="28"/>
          <w:szCs w:val="28"/>
        </w:rPr>
        <w:t>Закон</w:t>
      </w:r>
      <w:r w:rsidR="002E15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15E9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E9" w:rsidRPr="00952D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E15E9" w:rsidRPr="00952D45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="002E15E9" w:rsidRPr="00952D4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2E15E9"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E9" w:rsidRPr="00952D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2E15E9" w:rsidRPr="00952D45">
        <w:rPr>
          <w:rFonts w:ascii="Times New Roman" w:hAnsi="Times New Roman" w:cs="Times New Roman"/>
          <w:sz w:val="28"/>
          <w:szCs w:val="28"/>
        </w:rPr>
        <w:t>»</w:t>
      </w:r>
      <w:r w:rsidR="00D151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3426" w:rsidRDefault="002E15E9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допускається</w:t>
      </w:r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виня</w:t>
      </w:r>
      <w:r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952D45">
        <w:rPr>
          <w:rFonts w:ascii="Times New Roman" w:hAnsi="Times New Roman" w:cs="Times New Roman"/>
          <w:sz w:val="28"/>
          <w:szCs w:val="28"/>
        </w:rPr>
        <w:t>ціальної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), у тому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D151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15B" w:rsidRPr="00D1515B" w:rsidRDefault="00D1515B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D45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) у 5-денний строк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документа (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5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45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5E9" w:rsidRDefault="002E15E9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A15" w:rsidRDefault="00057A15" w:rsidP="00E6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A15" w:rsidRDefault="00057A15" w:rsidP="000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І.В.Кіхтенко</w:t>
      </w:r>
    </w:p>
    <w:sectPr w:rsidR="00057A15" w:rsidSect="002348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62FD"/>
    <w:multiLevelType w:val="multilevel"/>
    <w:tmpl w:val="99D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A7C"/>
    <w:rsid w:val="000466E5"/>
    <w:rsid w:val="000477DE"/>
    <w:rsid w:val="00057A15"/>
    <w:rsid w:val="000E7EAA"/>
    <w:rsid w:val="001A2FF5"/>
    <w:rsid w:val="001C19A7"/>
    <w:rsid w:val="00220F41"/>
    <w:rsid w:val="002348AD"/>
    <w:rsid w:val="0025416F"/>
    <w:rsid w:val="00261A62"/>
    <w:rsid w:val="002C43EA"/>
    <w:rsid w:val="002E15E9"/>
    <w:rsid w:val="00301CB5"/>
    <w:rsid w:val="00310A7C"/>
    <w:rsid w:val="00326AD6"/>
    <w:rsid w:val="00345A73"/>
    <w:rsid w:val="004F5E44"/>
    <w:rsid w:val="00580F47"/>
    <w:rsid w:val="00692548"/>
    <w:rsid w:val="006D740C"/>
    <w:rsid w:val="008C5EAF"/>
    <w:rsid w:val="00901B1E"/>
    <w:rsid w:val="00952D45"/>
    <w:rsid w:val="00965FE4"/>
    <w:rsid w:val="009741FA"/>
    <w:rsid w:val="00A4732B"/>
    <w:rsid w:val="00AB7A5A"/>
    <w:rsid w:val="00B939E2"/>
    <w:rsid w:val="00B95C04"/>
    <w:rsid w:val="00BD4DCB"/>
    <w:rsid w:val="00C22684"/>
    <w:rsid w:val="00C43426"/>
    <w:rsid w:val="00C70C60"/>
    <w:rsid w:val="00D00EB6"/>
    <w:rsid w:val="00D1515B"/>
    <w:rsid w:val="00D20279"/>
    <w:rsid w:val="00D47105"/>
    <w:rsid w:val="00D81CEB"/>
    <w:rsid w:val="00DC0E93"/>
    <w:rsid w:val="00E31984"/>
    <w:rsid w:val="00E41C2E"/>
    <w:rsid w:val="00E614DC"/>
    <w:rsid w:val="00E61DB6"/>
    <w:rsid w:val="00EA366D"/>
    <w:rsid w:val="00EF68CC"/>
    <w:rsid w:val="00FE0C87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CB5"/>
    <w:rPr>
      <w:b/>
      <w:bCs/>
    </w:rPr>
  </w:style>
  <w:style w:type="character" w:customStyle="1" w:styleId="apple-converted-space">
    <w:name w:val="apple-converted-space"/>
    <w:basedOn w:val="a0"/>
    <w:rsid w:val="00301CB5"/>
  </w:style>
  <w:style w:type="paragraph" w:styleId="a4">
    <w:name w:val="caption"/>
    <w:basedOn w:val="a"/>
    <w:next w:val="a"/>
    <w:uiPriority w:val="35"/>
    <w:unhideWhenUsed/>
    <w:qFormat/>
    <w:rsid w:val="001C19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D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5A37-E36A-4C1E-B067-38BB208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2018-01-12T08:05:00Z</cp:lastPrinted>
  <dcterms:created xsi:type="dcterms:W3CDTF">2018-01-09T06:05:00Z</dcterms:created>
  <dcterms:modified xsi:type="dcterms:W3CDTF">2018-01-24T14:14:00Z</dcterms:modified>
</cp:coreProperties>
</file>