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B0" w:rsidRDefault="002F7FB0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Особливості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пробне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ЗНО-2017</w:t>
      </w:r>
    </w:p>
    <w:p w:rsidR="00DD2318" w:rsidRDefault="00DD2318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D2318" w:rsidRDefault="00DD2318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D2318" w:rsidRP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Пробне зовнішнє незалежне оцінювання (далі – пробне тестування)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проводиться з метою ознайомлення всіх бажаючих із процедурою проведення зовнішнього незалежного оцінювання. Пробне тестування є важливою складовою підготовки до зовнішнього незалежного оцінювання.</w:t>
      </w:r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зареєструються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пробному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матимуть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ознайомитись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стандартизованими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тестами,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proofErr w:type="spellStart"/>
        <w:r w:rsidRPr="00DD231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Програм</w:t>
        </w:r>
        <w:proofErr w:type="spellEnd"/>
      </w:hyperlink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характеристикам 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сертифікаційних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року;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пробний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попрактикуватися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ідповідей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навчитись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розподіляти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час;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дізнатися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за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сервісу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розміщений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психологічно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налаштуватися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318" w:rsidRPr="00DD2318" w:rsidRDefault="00DD2318" w:rsidP="00DD2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оцінити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D2318" w:rsidRP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пробному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триватиме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до 31 </w:t>
      </w: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січня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року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Пробне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відбудеться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D2318" w:rsidRP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квітня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2318" w:rsidRPr="00DD2318" w:rsidRDefault="00DD2318" w:rsidP="00DD2318">
      <w:pPr>
        <w:shd w:val="clear" w:color="auto" w:fill="FFFFFF"/>
        <w:spacing w:after="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proofErr w:type="spellStart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квітня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ійської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іспанської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французької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математики,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фізики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пробного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–  два: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мова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один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8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квітня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реєстраційній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особу: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батькові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контактний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адреса (за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зазначенням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бажає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пробного тесту, населений пункт, де особа буде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обраний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регіональним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центром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проводиться за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кошти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пробному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завершеною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оплати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пробного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(их) особою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(их) предмета(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центру,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квитанції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формується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реєстраційною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заявою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before="57" w:after="57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пробного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автоматичної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зовнішньому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незалежному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пробного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використовуються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для конкурсного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відбору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2318" w:rsidRPr="00DD2318" w:rsidRDefault="00DD2318" w:rsidP="00DD2318">
      <w:pPr>
        <w:shd w:val="clear" w:color="auto" w:fill="FFFFFF"/>
        <w:spacing w:after="240" w:line="240" w:lineRule="auto"/>
        <w:ind w:firstLine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Детальна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пробного</w:t>
      </w:r>
      <w:proofErr w:type="gram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розміщена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центру, на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обслуговування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бажає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проходити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пробне</w:t>
      </w:r>
      <w:proofErr w:type="spellEnd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231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тестування</w:t>
      </w:r>
      <w:proofErr w:type="spellEnd"/>
      <w:r w:rsidRPr="00DD2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2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0"/>
        <w:gridCol w:w="6030"/>
      </w:tblGrid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регіонального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центру</w:t>
            </w:r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Територія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Вінницький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Вінницька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Житомирська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Хмельницька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Дніпропетровський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Дніпропетровська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Запорізька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Донецький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Донецька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Луганська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Івано-Франківський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Івано-Франківська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Закарпатська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Тернопільська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Чернівецька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Київський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м.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Київ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Київська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Черкаська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Чернігівська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Львівський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Львівська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Волинська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івненська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Одеський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Одеська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proofErr w:type="gram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proofErr w:type="gram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іровоградська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Харківський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  <w:p w:rsidR="00DD2318" w:rsidRPr="00DD2318" w:rsidRDefault="00DD2318" w:rsidP="00DD2318">
            <w:pPr>
              <w:spacing w:after="0" w:line="204" w:lineRule="atLeast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Харківська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Полтавська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Сумська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область</w:t>
            </w:r>
          </w:p>
        </w:tc>
      </w:tr>
      <w:tr w:rsidR="00DD2318" w:rsidRPr="00DD2318" w:rsidTr="00DD2318"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Херсонський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регіональний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центр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оцінювання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якості</w:t>
              </w:r>
              <w:proofErr w:type="spellEnd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 xml:space="preserve"> </w:t>
              </w:r>
              <w:proofErr w:type="spellStart"/>
              <w:r w:rsidRPr="00DD231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освіти</w:t>
              </w:r>
              <w:proofErr w:type="spellEnd"/>
            </w:hyperlink>
          </w:p>
          <w:p w:rsidR="00DD2318" w:rsidRPr="00DD2318" w:rsidRDefault="00DD2318" w:rsidP="00DD2318">
            <w:pPr>
              <w:spacing w:after="0" w:line="204" w:lineRule="atLeast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229" w:type="dxa"/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:rsidR="00DD2318" w:rsidRPr="00DD2318" w:rsidRDefault="00DD2318" w:rsidP="00DD2318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Херсонська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Миколаївська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області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Автономна</w:t>
            </w:r>
            <w:proofErr w:type="gram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Республіка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Крим</w:t>
            </w:r>
            <w:proofErr w:type="spellEnd"/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D2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м. Севастополь </w:t>
            </w:r>
          </w:p>
        </w:tc>
      </w:tr>
    </w:tbl>
    <w:p w:rsidR="00DD2318" w:rsidRDefault="00DD2318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D2318" w:rsidRDefault="00DD2318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D2318" w:rsidRPr="00DD2318" w:rsidRDefault="00DD2318" w:rsidP="00DD2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F7FB0" w:rsidRPr="002F7FB0" w:rsidRDefault="002F7FB0" w:rsidP="002F7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Вимоги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реєстрації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осіб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участі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пробному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зовнішньому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незалежному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оцінюванні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року</w:t>
      </w: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  <w:proofErr w:type="spellEnd"/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F7FB0" w:rsidRPr="002F7FB0" w:rsidRDefault="002F7FB0" w:rsidP="002F7FB0">
      <w:pPr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поширюється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закріплені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Харківським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регіональним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- ХРЦОЯО)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Полтавська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Сумська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виявили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участь у пробному ЗНО,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ідставі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3. 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реєстраційній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вказана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така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 особу: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ізвище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ім'я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батькові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дата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проживання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контактний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телефон,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адреса,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зазначенням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якою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бажає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пробного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тесту, населений пункт, де особа буде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проходити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пробне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ЗНО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установленого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переліку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категорію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випускника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випускник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ЗНЗ поточного року, 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випускник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минулих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, ПТНЗ, ВНЗ І-ІІ р.а.).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4. 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одночасного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зареєструватися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тесту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предметі</w:t>
      </w:r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в пробному ЗНО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завершеною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оплати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обраного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(их) особою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(их) предмета(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центру,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квитанції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формується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реєстраційною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оформленої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заяви.</w:t>
      </w: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Формування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оформлення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реєстраційної</w:t>
      </w:r>
      <w:proofErr w:type="spellEnd"/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заяви</w:t>
      </w:r>
    </w:p>
    <w:p w:rsidR="002F7FB0" w:rsidRPr="002F7FB0" w:rsidRDefault="002F7FB0" w:rsidP="002F7FB0">
      <w:pPr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6.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особа повинна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скористатися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спец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іальним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сервісом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розміщеним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ХРЦОЯО.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7.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ХРЦОЯО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створюється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інформаційна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сторінка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ЗНО", доступ до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персональним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кодом та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ІN-кодом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визначеними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особою). На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інформаційній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сторінці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розміщується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згенерована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заява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lastRenderedPageBreak/>
        <w:t>реквізити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замовленого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оплати;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сервіс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пробного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ЗНО.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пробне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зовнішнє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незалежне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заяви, особа: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роздруковує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реквізити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сплати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замовленого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оформляє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надсилає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поштою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до ХРЦОЯО;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оплачує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будь-якому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банку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іряє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оплату 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 через десять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дня оплати та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відправки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заяви.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додати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предмет пробного ЗНО. </w:t>
      </w:r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такому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особа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надіслати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реєстраційну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повторно.</w:t>
      </w:r>
    </w:p>
    <w:p w:rsidR="002F7FB0" w:rsidRPr="002F7FB0" w:rsidRDefault="002F7FB0" w:rsidP="002F7FB0">
      <w:pPr>
        <w:spacing w:after="36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10. Не </w:t>
      </w:r>
      <w:proofErr w:type="spellStart"/>
      <w:proofErr w:type="gramStart"/>
      <w:r w:rsidRPr="002F7F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F7FB0">
        <w:rPr>
          <w:rFonts w:ascii="Times New Roman" w:eastAsia="Times New Roman" w:hAnsi="Times New Roman" w:cs="Times New Roman"/>
          <w:sz w:val="28"/>
          <w:szCs w:val="28"/>
        </w:rPr>
        <w:t>ізніше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за два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тижні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 особа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та час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ЗНО.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запрошення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на пункт </w:t>
      </w:r>
      <w:proofErr w:type="spellStart"/>
      <w:r w:rsidRPr="002F7FB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F7FB0">
        <w:rPr>
          <w:rFonts w:ascii="Times New Roman" w:eastAsia="Times New Roman" w:hAnsi="Times New Roman" w:cs="Times New Roman"/>
          <w:sz w:val="28"/>
          <w:szCs w:val="28"/>
        </w:rPr>
        <w:t xml:space="preserve"> пробного ЗНО.</w:t>
      </w:r>
    </w:p>
    <w:p w:rsidR="00211627" w:rsidRPr="002F7FB0" w:rsidRDefault="00211627">
      <w:pPr>
        <w:rPr>
          <w:rFonts w:ascii="Times New Roman" w:hAnsi="Times New Roman" w:cs="Times New Roman"/>
          <w:sz w:val="28"/>
          <w:szCs w:val="28"/>
        </w:rPr>
      </w:pPr>
    </w:p>
    <w:sectPr w:rsidR="00211627" w:rsidRPr="002F7FB0" w:rsidSect="0091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AF7"/>
    <w:multiLevelType w:val="multilevel"/>
    <w:tmpl w:val="5D9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F7FB0"/>
    <w:rsid w:val="00211627"/>
    <w:rsid w:val="002F7FB0"/>
    <w:rsid w:val="00910D01"/>
    <w:rsid w:val="00DD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urrentcrumb">
    <w:name w:val="b_currentcrumb"/>
    <w:basedOn w:val="a0"/>
    <w:rsid w:val="002F7FB0"/>
  </w:style>
  <w:style w:type="paragraph" w:styleId="a3">
    <w:name w:val="Normal (Web)"/>
    <w:basedOn w:val="a"/>
    <w:uiPriority w:val="99"/>
    <w:unhideWhenUsed/>
    <w:rsid w:val="002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FB0"/>
    <w:rPr>
      <w:b/>
      <w:bCs/>
    </w:rPr>
  </w:style>
  <w:style w:type="character" w:customStyle="1" w:styleId="apple-converted-space">
    <w:name w:val="apple-converted-space"/>
    <w:basedOn w:val="a0"/>
    <w:rsid w:val="00DD2318"/>
  </w:style>
  <w:style w:type="character" w:styleId="a5">
    <w:name w:val="Hyperlink"/>
    <w:basedOn w:val="a0"/>
    <w:uiPriority w:val="99"/>
    <w:semiHidden/>
    <w:unhideWhenUsed/>
    <w:rsid w:val="00DD2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0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dn.ua/index.php?do=static&amp;page=probne-testuvannya" TargetMode="External"/><Relationship Id="rId13" Type="http://schemas.openxmlformats.org/officeDocument/2006/relationships/hyperlink" Target="http://zno-kharkiv.org.ua/probne2017/nstrukczya-po-reestracz-na-probne-zno-2016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prtest.dp.ua/cms/index.php?option=com_content&amp;view=article&amp;id=583&amp;Itemid=155" TargetMode="External"/><Relationship Id="rId12" Type="http://schemas.openxmlformats.org/officeDocument/2006/relationships/hyperlink" Target="http://test-center.od.ua/index.php?action=zno_prob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ntest.org.ua/aboutProbne.aspx" TargetMode="External"/><Relationship Id="rId11" Type="http://schemas.openxmlformats.org/officeDocument/2006/relationships/hyperlink" Target="http://lvtest.org.ua/zno-2017/probne-zno-2017" TargetMode="External"/><Relationship Id="rId5" Type="http://schemas.openxmlformats.org/officeDocument/2006/relationships/hyperlink" Target="http://testportal.gov.ua/programs201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ievtest.org.ua/vseproprob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.if.ua/?p=3777" TargetMode="External"/><Relationship Id="rId14" Type="http://schemas.openxmlformats.org/officeDocument/2006/relationships/hyperlink" Target="http://khersontest.org.ua/probne_zno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1118</Words>
  <Characters>6379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2017-01-04T09:55:00Z</dcterms:created>
  <dcterms:modified xsi:type="dcterms:W3CDTF">2017-01-04T12:06:00Z</dcterms:modified>
</cp:coreProperties>
</file>