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F" w:rsidRPr="001D35DF" w:rsidRDefault="001D35DF" w:rsidP="001D35D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1D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Проект Закону України</w:t>
      </w:r>
    </w:p>
    <w:p w:rsidR="001D35DF" w:rsidRDefault="001D35DF" w:rsidP="001D35D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1D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«Про професійну (професійно-технічну) освіту»</w:t>
      </w:r>
    </w:p>
    <w:p w:rsidR="001D35DF" w:rsidRPr="001D35DF" w:rsidRDefault="001D35DF" w:rsidP="001D35D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на обговорення</w:t>
      </w:r>
    </w:p>
    <w:p w:rsidR="001D35DF" w:rsidRPr="001D35DF" w:rsidRDefault="001D35DF" w:rsidP="00E12DD7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E12DD7" w:rsidRPr="001D35DF" w:rsidRDefault="00E12DD7" w:rsidP="001D35DF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Нова якість освіти, учень та його професійна реалізація - пріоритет, орієнтованість на потреби роботодавців та економіки України, а також впорядкування принципів управління, які змінилися в межах децентралізації – саме ці ключові питання має врегулювати проект Закону «Про професійну (професійно-технічну) освіту».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фахівцями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усіма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зацікавленими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сторонами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2018 року,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</w:t>
      </w:r>
      <w:proofErr w:type="spellStart"/>
      <w:r w:rsidR="004E0DFD" w:rsidRPr="001D35DF">
        <w:rPr>
          <w:rFonts w:ascii="Times New Roman" w:hAnsi="Times New Roman" w:cs="Times New Roman"/>
          <w:sz w:val="28"/>
          <w:szCs w:val="28"/>
        </w:rPr>
        <w:fldChar w:fldCharType="begin"/>
      </w:r>
      <w:r w:rsidR="004E0DFD" w:rsidRPr="001D35DF">
        <w:rPr>
          <w:rFonts w:ascii="Times New Roman" w:hAnsi="Times New Roman" w:cs="Times New Roman"/>
          <w:sz w:val="28"/>
          <w:szCs w:val="28"/>
        </w:rPr>
        <w:instrText>HYPERLINK "https://mon.gov.ua/ua/news/mon-proponuye-do-gromadskogo-obgovorennya-proekt-zakonu-ukrayini-pro-profesijnu-profesijno-tehnichnu-osvitu" \t "_blank"</w:instrText>
      </w:r>
      <w:r w:rsidR="004E0DFD" w:rsidRPr="001D35DF">
        <w:rPr>
          <w:rFonts w:ascii="Times New Roman" w:hAnsi="Times New Roman" w:cs="Times New Roman"/>
          <w:sz w:val="28"/>
          <w:szCs w:val="28"/>
        </w:rPr>
        <w:fldChar w:fldCharType="separate"/>
      </w:r>
      <w:r w:rsidRPr="001D35DF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lang w:eastAsia="ru-RU"/>
        </w:rPr>
        <w:t>сайті</w:t>
      </w:r>
      <w:proofErr w:type="spellEnd"/>
      <w:r w:rsidR="004E0DFD" w:rsidRPr="001D35DF">
        <w:rPr>
          <w:rFonts w:ascii="Times New Roman" w:hAnsi="Times New Roman" w:cs="Times New Roman"/>
          <w:sz w:val="28"/>
          <w:szCs w:val="28"/>
        </w:rPr>
        <w:fldChar w:fldCharType="end"/>
      </w: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Міністерства 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spacing w:after="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«Зараз 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потребуємо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кардинальних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Судіть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20%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обирають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навчання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профучилищах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40%, 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подекуди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70%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доводиться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зношеному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60-100%. При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роботодавцям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доучувати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перенавчати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робітників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почали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Так, з 2016 року держава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інвестує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профучилищ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навчально-практичних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зараз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50, з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держбюджету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субвенція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загальнодержавного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готуємо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з ЄС.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освіти, а зараз 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пропонуємо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Закону «Про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візію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закладаються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реформу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– пояснила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Лілія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Гриневич.</w:t>
      </w:r>
    </w:p>
    <w:p w:rsidR="00E12DD7" w:rsidRPr="001D35DF" w:rsidRDefault="004E0DFD" w:rsidP="001D35DF">
      <w:pPr>
        <w:shd w:val="clear" w:color="auto" w:fill="FFFFFF"/>
        <w:spacing w:line="44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proofErr w:type="spellStart"/>
        <w:r w:rsidR="00E12DD7" w:rsidRPr="001D35DF">
          <w:rPr>
            <w:rFonts w:ascii="Times New Roman" w:eastAsia="Times New Roman" w:hAnsi="Times New Roman" w:cs="Times New Roman"/>
            <w:color w:val="827F7B"/>
            <w:sz w:val="28"/>
            <w:szCs w:val="28"/>
            <w:u w:val="single"/>
            <w:lang w:eastAsia="ru-RU"/>
          </w:rPr>
          <w:t>професійно-технічна</w:t>
        </w:r>
        <w:proofErr w:type="spellEnd"/>
        <w:r w:rsidR="00E12DD7" w:rsidRPr="001D35DF">
          <w:rPr>
            <w:rFonts w:ascii="Times New Roman" w:eastAsia="Times New Roman" w:hAnsi="Times New Roman" w:cs="Times New Roman"/>
            <w:color w:val="827F7B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E12DD7" w:rsidRPr="001D35DF">
          <w:rPr>
            <w:rFonts w:ascii="Times New Roman" w:eastAsia="Times New Roman" w:hAnsi="Times New Roman" w:cs="Times New Roman"/>
            <w:color w:val="827F7B"/>
            <w:sz w:val="28"/>
            <w:szCs w:val="28"/>
            <w:u w:val="single"/>
            <w:lang w:eastAsia="ru-RU"/>
          </w:rPr>
          <w:t>освіта</w:t>
        </w:r>
        <w:proofErr w:type="spellEnd"/>
      </w:hyperlink>
    </w:p>
    <w:p w:rsidR="00E12DD7" w:rsidRPr="001D35DF" w:rsidRDefault="004E0DFD" w:rsidP="001D35DF">
      <w:pPr>
        <w:shd w:val="clear" w:color="auto" w:fill="FFFFFF"/>
        <w:spacing w:line="44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proofErr w:type="spellStart"/>
        <w:r w:rsidR="00E12DD7" w:rsidRPr="001D35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Надрукувати</w:t>
        </w:r>
        <w:proofErr w:type="spellEnd"/>
      </w:hyperlink>
    </w:p>
    <w:p w:rsidR="00E12DD7" w:rsidRPr="001D35DF" w:rsidRDefault="00E12DD7" w:rsidP="001D35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проект Закону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закладено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перезавантаження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усієї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орієнтується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принцип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людиноцентризму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те,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інтегрувати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ринком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унормувати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децентралізаційні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розпочалися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року. Тому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закладено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освіти:</w:t>
      </w:r>
    </w:p>
    <w:p w:rsidR="00E12DD7" w:rsidRPr="001D35DF" w:rsidRDefault="00E12DD7" w:rsidP="001D35DF">
      <w:pPr>
        <w:numPr>
          <w:ilvl w:val="0"/>
          <w:numId w:val="1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компетентнісному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1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наскрізних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1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незалежне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закладами,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кваліфікаційними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центрами;</w:t>
      </w:r>
    </w:p>
    <w:p w:rsidR="00E12DD7" w:rsidRPr="001D35DF" w:rsidRDefault="00E12DD7" w:rsidP="001D35DF">
      <w:pPr>
        <w:numPr>
          <w:ilvl w:val="0"/>
          <w:numId w:val="1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досконалості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відповідатиме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1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2DD7" w:rsidRPr="001D35DF" w:rsidRDefault="00E12DD7" w:rsidP="001D35DF">
      <w:pPr>
        <w:numPr>
          <w:ilvl w:val="0"/>
          <w:numId w:val="2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навчального часу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2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потребами;</w:t>
      </w:r>
    </w:p>
    <w:p w:rsidR="00E12DD7" w:rsidRPr="001D35DF" w:rsidRDefault="00E12DD7" w:rsidP="001D35DF">
      <w:pPr>
        <w:numPr>
          <w:ilvl w:val="0"/>
          <w:numId w:val="2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набуття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з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одночасним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освіти, так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2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професійне навчання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2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академічна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мобільність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професійної освіти:</w:t>
      </w:r>
    </w:p>
    <w:p w:rsidR="00E12DD7" w:rsidRPr="001D35DF" w:rsidRDefault="00E12DD7" w:rsidP="001D35DF">
      <w:pPr>
        <w:numPr>
          <w:ilvl w:val="0"/>
          <w:numId w:val="3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уніфікація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 (4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узагальнених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16-ти: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коледж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регіональний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багатопрофільний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професійної освіти, центр професійної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12DD7" w:rsidRPr="001D35DF" w:rsidRDefault="00E12DD7" w:rsidP="001D35DF">
      <w:pPr>
        <w:numPr>
          <w:ilvl w:val="0"/>
          <w:numId w:val="3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професійної освіти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ради;</w:t>
      </w:r>
    </w:p>
    <w:p w:rsidR="00E12DD7" w:rsidRPr="001D35DF" w:rsidRDefault="00E12DD7" w:rsidP="001D35DF">
      <w:pPr>
        <w:numPr>
          <w:ilvl w:val="0"/>
          <w:numId w:val="3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освіти. Посада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строковою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правом повторного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децентралізації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системою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2DD7" w:rsidRPr="001D35DF" w:rsidRDefault="00E12DD7" w:rsidP="001D35DF">
      <w:pPr>
        <w:numPr>
          <w:ilvl w:val="0"/>
          <w:numId w:val="4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розмежування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numPr>
          <w:ilvl w:val="0"/>
          <w:numId w:val="4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регіональних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 професійної освіти.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консультативно-дорадчий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входитимуть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роботодавці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надаватиме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освіти.</w:t>
      </w:r>
    </w:p>
    <w:p w:rsidR="00E12DD7" w:rsidRPr="001D35DF" w:rsidRDefault="00E12DD7" w:rsidP="001D35DF">
      <w:pPr>
        <w:numPr>
          <w:ilvl w:val="0"/>
          <w:numId w:val="4"/>
        </w:numPr>
        <w:shd w:val="clear" w:color="auto" w:fill="FFFFFF"/>
        <w:spacing w:before="100" w:beforeAutospacing="1" w:after="77" w:line="306" w:lineRule="atLeast"/>
        <w:ind w:left="-23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ліцензування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 – передача права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ліцензування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регіональний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Закону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академічної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зможуть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короткострокові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частковими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кваліфікаціями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закладається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держбанках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спрощеною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процедурою.</w:t>
      </w:r>
      <w:proofErr w:type="gramEnd"/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Щоб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стимулювати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державного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в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інституційний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аудит.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позаплановим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проектом Закону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 освіти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гарантується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працевлаштування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навчання,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договором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сприятиме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ідомому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вибору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дозволить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як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роботодавців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ідсумком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реформування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профосвіти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бути: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структура та мережа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сформований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освіти, органами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роботодавцями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центрами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партнерами;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якість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професійної освіти;</w:t>
      </w:r>
    </w:p>
    <w:p w:rsidR="00E12DD7" w:rsidRPr="001D35DF" w:rsidRDefault="00E12DD7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публічно-приватного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партнерства.</w:t>
      </w:r>
    </w:p>
    <w:p w:rsidR="00BA78FD" w:rsidRPr="001D35DF" w:rsidRDefault="00BA78FD" w:rsidP="001D35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12DD7" w:rsidRPr="00E12DD7" w:rsidRDefault="00E12DD7" w:rsidP="001D35DF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 Закону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триватиме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 </w:t>
      </w:r>
      <w:r w:rsidRPr="001D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 </w:t>
      </w:r>
      <w:proofErr w:type="spellStart"/>
      <w:r w:rsidRPr="001D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  <w:r w:rsidRPr="001D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2018 року</w:t>
      </w:r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зауваження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надсилати</w:t>
      </w:r>
      <w:proofErr w:type="spell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D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адресу </w:t>
      </w:r>
      <w:r w:rsidRPr="001D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shumik@mon.gov.ua</w:t>
      </w:r>
    </w:p>
    <w:sectPr w:rsidR="00E12DD7" w:rsidRPr="00E12DD7" w:rsidSect="001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72F"/>
    <w:multiLevelType w:val="multilevel"/>
    <w:tmpl w:val="7AA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2AC2"/>
    <w:multiLevelType w:val="multilevel"/>
    <w:tmpl w:val="AD2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C5D73"/>
    <w:multiLevelType w:val="multilevel"/>
    <w:tmpl w:val="848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B6BE0"/>
    <w:multiLevelType w:val="multilevel"/>
    <w:tmpl w:val="805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DD7"/>
    <w:rsid w:val="001D35DF"/>
    <w:rsid w:val="001D642D"/>
    <w:rsid w:val="003A26E1"/>
    <w:rsid w:val="004E0DFD"/>
    <w:rsid w:val="005B7B2E"/>
    <w:rsid w:val="00BA78FD"/>
    <w:rsid w:val="00E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2D"/>
  </w:style>
  <w:style w:type="paragraph" w:styleId="2">
    <w:name w:val="heading 2"/>
    <w:basedOn w:val="a"/>
    <w:link w:val="20"/>
    <w:uiPriority w:val="9"/>
    <w:qFormat/>
    <w:rsid w:val="00E12DD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D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DD7"/>
  </w:style>
  <w:style w:type="character" w:styleId="a4">
    <w:name w:val="Hyperlink"/>
    <w:basedOn w:val="a0"/>
    <w:uiPriority w:val="99"/>
    <w:semiHidden/>
    <w:unhideWhenUsed/>
    <w:rsid w:val="00E12DD7"/>
    <w:rPr>
      <w:color w:val="0000FF"/>
      <w:u w:val="single"/>
    </w:rPr>
  </w:style>
  <w:style w:type="character" w:styleId="a5">
    <w:name w:val="Strong"/>
    <w:basedOn w:val="a0"/>
    <w:uiPriority w:val="22"/>
    <w:qFormat/>
    <w:rsid w:val="00E12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18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67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4935">
                  <w:marLeft w:val="-230"/>
                  <w:marRight w:val="-230"/>
                  <w:marTop w:val="383"/>
                  <w:marBottom w:val="7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583155">
              <w:marLeft w:val="-230"/>
              <w:marRight w:val="-230"/>
              <w:marTop w:val="0"/>
              <w:marBottom w:val="1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yakoyu-maye-buti-profosvita-v-ukrayini-mon-rozmistilo-dlya-gromadskogo-obgovorennya-proekt-zakonu-pro-profesijnu-profesijno-tehnichnu-osvitu?=print" TargetMode="External"/><Relationship Id="rId5" Type="http://schemas.openxmlformats.org/officeDocument/2006/relationships/hyperlink" Target="https://mon.gov.ua/ua/tag/profesiyno-tekhnichna-osv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2018-10-02T05:11:00Z</dcterms:created>
  <dcterms:modified xsi:type="dcterms:W3CDTF">2018-10-04T05:27:00Z</dcterms:modified>
</cp:coreProperties>
</file>