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C5" w:rsidRPr="004F4CC5" w:rsidRDefault="004F4CC5" w:rsidP="004F4CC5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A2928"/>
          <w:sz w:val="24"/>
          <w:szCs w:val="24"/>
          <w:lang w:eastAsia="ru-RU"/>
        </w:rPr>
        <w:drawing>
          <wp:inline distT="0" distB="0" distL="0" distR="0">
            <wp:extent cx="628650" cy="838200"/>
            <wp:effectExtent l="19050" t="0" r="0" b="0"/>
            <wp:docPr id="6" name="Рисунок 6" descr="http://search.ligazakon.ua/l_flib1.nsf/LookupFiles/TSIGN.GIF/$file/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earch.ligazakon.ua/l_flib1.nsf/LookupFiles/TSIGN.GIF/$file/TSIG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C5" w:rsidRPr="004F4CC5" w:rsidRDefault="004F4CC5" w:rsidP="004F4CC5">
      <w:pPr>
        <w:shd w:val="clear" w:color="auto" w:fill="FFFFFF"/>
        <w:spacing w:after="0" w:line="510" w:lineRule="atLeast"/>
        <w:jc w:val="center"/>
        <w:outlineLvl w:val="1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КАБІНЕТ МІНІ</w:t>
      </w:r>
      <w:proofErr w:type="gram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СТР</w:t>
      </w:r>
      <w:proofErr w:type="gram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ІВ УКРАЇНИ</w:t>
      </w:r>
    </w:p>
    <w:p w:rsidR="004F4CC5" w:rsidRPr="004F4CC5" w:rsidRDefault="004F4CC5" w:rsidP="004F4CC5">
      <w:pPr>
        <w:shd w:val="clear" w:color="auto" w:fill="FFFFFF"/>
        <w:spacing w:after="0" w:line="510" w:lineRule="atLeast"/>
        <w:jc w:val="center"/>
        <w:outlineLvl w:val="1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РОЗПОРЯДЖЕННЯ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proofErr w:type="spellStart"/>
      <w:r w:rsidRPr="004F4CC5">
        <w:rPr>
          <w:rFonts w:ascii="Times New Roman" w:eastAsia="Times New Roman" w:hAnsi="Times New Roman" w:cs="Times New Roman"/>
          <w:b/>
          <w:bCs/>
          <w:color w:val="2A2928"/>
          <w:sz w:val="28"/>
          <w:szCs w:val="28"/>
          <w:lang w:eastAsia="ru-RU"/>
        </w:rPr>
        <w:t>від</w:t>
      </w:r>
      <w:proofErr w:type="spellEnd"/>
      <w:r w:rsidRPr="004F4CC5">
        <w:rPr>
          <w:rFonts w:ascii="Times New Roman" w:eastAsia="Times New Roman" w:hAnsi="Times New Roman" w:cs="Times New Roman"/>
          <w:b/>
          <w:bCs/>
          <w:color w:val="2A2928"/>
          <w:sz w:val="28"/>
          <w:szCs w:val="28"/>
          <w:lang w:eastAsia="ru-RU"/>
        </w:rPr>
        <w:t xml:space="preserve"> 16 </w:t>
      </w:r>
      <w:proofErr w:type="spellStart"/>
      <w:r w:rsidRPr="004F4CC5">
        <w:rPr>
          <w:rFonts w:ascii="Times New Roman" w:eastAsia="Times New Roman" w:hAnsi="Times New Roman" w:cs="Times New Roman"/>
          <w:b/>
          <w:bCs/>
          <w:color w:val="2A2928"/>
          <w:sz w:val="28"/>
          <w:szCs w:val="28"/>
          <w:lang w:eastAsia="ru-RU"/>
        </w:rPr>
        <w:t>грудня</w:t>
      </w:r>
      <w:proofErr w:type="spellEnd"/>
      <w:r w:rsidRPr="004F4CC5">
        <w:rPr>
          <w:rFonts w:ascii="Times New Roman" w:eastAsia="Times New Roman" w:hAnsi="Times New Roman" w:cs="Times New Roman"/>
          <w:b/>
          <w:bCs/>
          <w:color w:val="2A2928"/>
          <w:sz w:val="28"/>
          <w:szCs w:val="28"/>
          <w:lang w:eastAsia="ru-RU"/>
        </w:rPr>
        <w:t xml:space="preserve"> 2020 р. N 1578-р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proofErr w:type="spellStart"/>
      <w:r w:rsidRPr="004F4CC5">
        <w:rPr>
          <w:rFonts w:ascii="Times New Roman" w:eastAsia="Times New Roman" w:hAnsi="Times New Roman" w:cs="Times New Roman"/>
          <w:b/>
          <w:bCs/>
          <w:color w:val="2A2928"/>
          <w:sz w:val="28"/>
          <w:szCs w:val="28"/>
          <w:lang w:eastAsia="ru-RU"/>
        </w:rPr>
        <w:t>Киї</w:t>
      </w:r>
      <w:proofErr w:type="gramStart"/>
      <w:r w:rsidRPr="004F4CC5">
        <w:rPr>
          <w:rFonts w:ascii="Times New Roman" w:eastAsia="Times New Roman" w:hAnsi="Times New Roman" w:cs="Times New Roman"/>
          <w:b/>
          <w:bCs/>
          <w:color w:val="2A2928"/>
          <w:sz w:val="28"/>
          <w:szCs w:val="28"/>
          <w:lang w:eastAsia="ru-RU"/>
        </w:rPr>
        <w:t>в</w:t>
      </w:r>
      <w:proofErr w:type="spellEnd"/>
      <w:proofErr w:type="gramEnd"/>
    </w:p>
    <w:p w:rsidR="004F4CC5" w:rsidRPr="004F4CC5" w:rsidRDefault="004F4CC5" w:rsidP="004F4CC5">
      <w:pPr>
        <w:shd w:val="clear" w:color="auto" w:fill="FFFFFF"/>
        <w:spacing w:after="0" w:line="510" w:lineRule="atLeast"/>
        <w:jc w:val="center"/>
        <w:outlineLvl w:val="1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Про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затвердження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плану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заходів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реалізації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зобов'язань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Уряду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України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взятих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в рамках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міжнародної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ініціативи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"Партнерство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Біарріц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"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утвердження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гендерної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</w:t>
      </w:r>
      <w:proofErr w:type="gram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івності</w:t>
      </w:r>
      <w:proofErr w:type="spellEnd"/>
    </w:p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1.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Затвердити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план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заходів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реалізації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зобов'язань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Уряду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України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взятих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в рамках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міжнародної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ініціативи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"Партнерство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Біарріц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"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утвердження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гендерної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</w:t>
      </w:r>
      <w:proofErr w:type="gram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івності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що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додається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.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2.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Міністерствам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іншим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центральним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органам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виконавчої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влади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обласним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та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Київській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міській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держадміністраціям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відповідальним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за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виконання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плану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заходів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затвердженого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цим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розпорядженням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: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забезпечити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виконання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плану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заходів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;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подавати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щокварталу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до 10 числа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наступного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місяця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Кабінетові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Міні</w:t>
      </w:r>
      <w:proofErr w:type="gram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стр</w:t>
      </w:r>
      <w:proofErr w:type="gram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ів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України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інформацію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про стан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його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виконання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.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 </w:t>
      </w:r>
    </w:p>
    <w:tbl>
      <w:tblPr>
        <w:tblW w:w="5000" w:type="pct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7329"/>
        <w:gridCol w:w="7329"/>
      </w:tblGrid>
      <w:tr w:rsidR="004F4CC5" w:rsidRPr="004F4CC5" w:rsidTr="004F4CC5">
        <w:trPr>
          <w:tblCellSpacing w:w="22" w:type="dxa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b/>
                <w:bCs/>
                <w:color w:val="2A2928"/>
                <w:sz w:val="28"/>
                <w:szCs w:val="28"/>
                <w:lang w:eastAsia="ru-RU"/>
              </w:rPr>
              <w:t>Прем'єр-міні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b/>
                <w:bCs/>
                <w:color w:val="2A2928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Pr="004F4CC5">
              <w:rPr>
                <w:rFonts w:ascii="Times New Roman" w:eastAsia="Times New Roman" w:hAnsi="Times New Roman" w:cs="Times New Roman"/>
                <w:b/>
                <w:bCs/>
                <w:color w:val="2A292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b/>
                <w:bCs/>
                <w:color w:val="2A2928"/>
                <w:sz w:val="28"/>
                <w:szCs w:val="28"/>
                <w:lang w:eastAsia="ru-RU"/>
              </w:rPr>
              <w:t>України</w:t>
            </w:r>
            <w:proofErr w:type="spellEnd"/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b/>
                <w:bCs/>
                <w:color w:val="2A2928"/>
                <w:sz w:val="28"/>
                <w:szCs w:val="28"/>
                <w:lang w:eastAsia="ru-RU"/>
              </w:rPr>
              <w:t>Д. ШМИГАЛЬ</w:t>
            </w:r>
          </w:p>
        </w:tc>
      </w:tr>
    </w:tbl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Інд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. 58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 </w:t>
      </w:r>
    </w:p>
    <w:p w:rsidR="004F4CC5" w:rsidRPr="004F4CC5" w:rsidRDefault="004F4CC5" w:rsidP="004F4CC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ЗАТВЕРДЖЕНО</w:t>
      </w: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br/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розпорядженням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Кабінету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Міні</w:t>
      </w:r>
      <w:proofErr w:type="gram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стр</w:t>
      </w:r>
      <w:proofErr w:type="gram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ів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України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br/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від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16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грудня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2020 р. N 1578-р</w:t>
      </w:r>
    </w:p>
    <w:p w:rsidR="004F4CC5" w:rsidRPr="004F4CC5" w:rsidRDefault="004F4CC5" w:rsidP="004F4CC5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ПЛАН ЗАХОДІВ</w:t>
      </w:r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br/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реалізації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зобов'язань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Уряду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України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взятих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в рамках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міжнародної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ініціативи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"Партнерство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Біарріц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"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утвердження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гендерної</w:t>
      </w:r>
      <w:proofErr w:type="spell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</w:t>
      </w:r>
      <w:proofErr w:type="gramEnd"/>
      <w:r w:rsidRPr="004F4CC5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івності</w:t>
      </w:r>
      <w:proofErr w:type="spellEnd"/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9"/>
        <w:gridCol w:w="2917"/>
        <w:gridCol w:w="1459"/>
        <w:gridCol w:w="2480"/>
        <w:gridCol w:w="2480"/>
        <w:gridCol w:w="2771"/>
      </w:tblGrid>
      <w:tr w:rsidR="004F4CC5" w:rsidRPr="004F4CC5" w:rsidTr="004F4CC5"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Зобов'язання</w:t>
            </w:r>
            <w:proofErr w:type="spellEnd"/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заходу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Строк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Індикатор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Очікувані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</w:t>
            </w:r>
            <w:proofErr w:type="spellEnd"/>
          </w:p>
        </w:tc>
      </w:tr>
      <w:tr w:rsidR="004F4CC5" w:rsidRPr="004F4CC5" w:rsidTr="004F4CC5">
        <w:tc>
          <w:tcPr>
            <w:tcW w:w="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Розвивати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чутливий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публічний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дружній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дітьми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маломобільних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методології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моніторингу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Мінрегіон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Мінінфраструктури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МОЗ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МОН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заінтересовані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Уповноважений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Президента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людей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інвалідністю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Київська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держадміністрації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об'єднання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інвалідністю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Кабінетом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Порядок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моніторингу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створено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нормативно-правові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ідстави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моніторингу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моніторингу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постійно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Мінрегіон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моніторингу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Порядку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відсоток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де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враховано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інклюзивність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щороку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збільшується</w:t>
            </w:r>
            <w:proofErr w:type="spellEnd"/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удосконалення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нормативно-правової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" -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будівельних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потребують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вдосконалення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метою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безперешкодного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середовища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інвалідністю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маломобільних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досві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ДБН В.2.2-40:2018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Інклюзивність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будівель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споруд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прийнято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переглянуто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будівельні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досві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аспекту</w:t>
            </w:r>
          </w:p>
        </w:tc>
      </w:tr>
      <w:tr w:rsidR="004F4CC5" w:rsidRPr="004F4CC5" w:rsidTr="004F4CC5">
        <w:tc>
          <w:tcPr>
            <w:tcW w:w="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наскрізність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освіті</w:t>
            </w:r>
            <w:proofErr w:type="spellEnd"/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2030 року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МВС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заінтересовані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2030 року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Кабінетом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2030 року</w:t>
            </w:r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2030 року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" -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2030 року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наказом МОН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2030 року</w:t>
            </w:r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запровадження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антидискримінаційної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експертизи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контенту</w:t>
            </w:r>
            <w:proofErr w:type="spellEnd"/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об'єднання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нормативно-правову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базу, яка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запроваджує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обов'язкову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антидис-кримінаційну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контенту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методологію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недискримінацій-ного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ідходу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освітньому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контенті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здійснено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антидискримінаційну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експертизу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відсотків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наявного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контенту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освітньому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застосовуються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виховні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пройшли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антидискримінаційну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експертизу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не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істять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дискримінаційного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характеру</w:t>
            </w:r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аудит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2021 - 2023 роки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об'єднання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наказом МОН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методологію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аудиту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фахівців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аудиту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проведено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аудит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усунення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виявлених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порушень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виявлені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порушення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усунено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усунення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порушень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рівнів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містять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прихованих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дискримінації</w:t>
            </w:r>
            <w:proofErr w:type="spellEnd"/>
          </w:p>
        </w:tc>
      </w:tr>
      <w:tr w:rsidR="004F4CC5" w:rsidRPr="004F4CC5" w:rsidTr="004F4CC5">
        <w:tc>
          <w:tcPr>
            <w:tcW w:w="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Протидіяти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обумовленому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насильству</w:t>
            </w:r>
            <w:proofErr w:type="spellEnd"/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ефективної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гарячої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15-47 для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прийняття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повідомлень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про/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людьми,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загрозу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такого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2021 - 2024 роки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Секретаріат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Кабінету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МВС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МОН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МОЗ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Урядовий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центр"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проведено аудит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гарячої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15-47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гарячої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15-47 за результатом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аудиту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цілодобова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робота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гарячої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15-47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забезпечує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належне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реагування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кожен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випадок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людьми,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загрозу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такого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впроваджено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ефективну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взаємодію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гарячої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15-47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суб'єктами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здійснюють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заходи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запобігання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протидії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оперативне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реагування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кожен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окремий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випадок</w:t>
            </w:r>
            <w:proofErr w:type="spellEnd"/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постраждалим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особам доступу до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правосуддя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механізмів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зокрема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безоплатної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порядку,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hyperlink r:id="rId8" w:tgtFrame="_top" w:history="1"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 xml:space="preserve">Законом </w:t>
              </w:r>
              <w:proofErr w:type="spellStart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України</w:t>
              </w:r>
              <w:proofErr w:type="spellEnd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 xml:space="preserve"> "Про </w:t>
              </w:r>
              <w:proofErr w:type="spellStart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безоплатну</w:t>
              </w:r>
              <w:proofErr w:type="spellEnd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правову</w:t>
              </w:r>
              <w:proofErr w:type="spellEnd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допомогу</w:t>
              </w:r>
              <w:proofErr w:type="spellEnd"/>
              <w:r w:rsidRPr="004F4CC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"</w:t>
              </w:r>
            </w:hyperlink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2021 - 2024 роки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Мін'юст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Координаційний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Нацсоцслужба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МВС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МОН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МОЗ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Національна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поліція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ДСА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об'єднання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кількість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людьми,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загрози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такого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гарячу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Координаційного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торгівлі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людьми,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отримали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безоплатну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первинну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систему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безоплатної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людьми,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отримали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безоплатну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вторинну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систему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безоплатної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забезпечено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своєчасне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особою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остаточні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ішення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суду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процесуальні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правоохоронних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пов'язані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розглядом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зокрема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пов'язані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ізоляцією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кривдника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звільненням</w:t>
            </w:r>
            <w:proofErr w:type="spellEnd"/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розбудова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мережі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притулків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роки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Нацсоцслужба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Київська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держадміністрації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відкрито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притулки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потреб громад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постраждалих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домашнього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спеціалізованою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допомогою</w:t>
            </w:r>
            <w:proofErr w:type="spellEnd"/>
          </w:p>
        </w:tc>
      </w:tr>
      <w:tr w:rsidR="004F4CC5" w:rsidRPr="004F4CC5" w:rsidTr="004F4CC5">
        <w:tc>
          <w:tcPr>
            <w:tcW w:w="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Зменшити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розрив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жінок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чолові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</w:t>
            </w:r>
            <w:proofErr w:type="spellEnd"/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критеріям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членства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коаліції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оплату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(EPIC)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" -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Мінекономіки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статус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за 4-ма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11-ти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критеріїв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членства,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року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присвоєно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статус </w:t>
            </w: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"не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",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обмеженому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обсязі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недостатньому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обсязі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Україна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відповідає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критеріям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членства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коаліції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оплату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прийняття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Національної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зменшення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розриву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2023 року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2021 - 2023 роки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Мінекономіки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Національну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зменшення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розриву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2023 року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гендерний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розрив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щороку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скорочується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менше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ніж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відсотковий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пункт та 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кінець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року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становитиме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більше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ніж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відсотків</w:t>
            </w:r>
            <w:proofErr w:type="spellEnd"/>
          </w:p>
        </w:tc>
      </w:tr>
      <w:tr w:rsidR="004F4CC5" w:rsidRPr="004F4CC5" w:rsidTr="004F4CC5">
        <w:tc>
          <w:tcPr>
            <w:tcW w:w="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Реформувати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пов'язаних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народженням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доглядом за нею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трудового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можливостей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жінок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чоловіків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пов'язаних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народженням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доглядом за нею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Мінекономіки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Нацсоцслужба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гарантій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сімейними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обов'язками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зокрема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можливостей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батька на догляд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дитиною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чоловіки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жінки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сімейними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обов'язками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мають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законодавчі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спеціального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жінок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грудного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вигодовування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збільшено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частку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чоловіків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користуються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відпусткою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догляду за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дитиною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нею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трирічного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віку</w:t>
            </w:r>
            <w:proofErr w:type="spellEnd"/>
          </w:p>
        </w:tc>
      </w:tr>
      <w:tr w:rsidR="004F4CC5" w:rsidRPr="004F4CC5" w:rsidTr="004F4CC5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4CC5" w:rsidRPr="004F4CC5" w:rsidRDefault="004F4CC5" w:rsidP="004F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комунікаційне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інформаційне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супроводження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трудового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сімейного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можливостей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жінок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чоловіків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відпусток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пов'язаних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народженням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доглядом за нею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Мінекономіки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Нацсоцслужба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заінтересовані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чоловіки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жінки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сімейними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обов'язками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роботодавці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обізнані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14-денної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оплачуваної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народженні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законодавчі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передбачені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працівникам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сімейними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обов'язками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CC5" w:rsidRPr="004F4CC5" w:rsidRDefault="004F4CC5" w:rsidP="004F4CC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ідвищено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рівень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обізнаності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роботодавців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можливість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14-денної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оплачуваної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народженні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законодавчі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гарантії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передбачені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працівникам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сімейними</w:t>
            </w:r>
            <w:proofErr w:type="spellEnd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4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обов'язками</w:t>
            </w:r>
            <w:proofErr w:type="spellEnd"/>
          </w:p>
        </w:tc>
      </w:tr>
    </w:tbl>
    <w:p w:rsidR="004F4CC5" w:rsidRPr="004F4CC5" w:rsidRDefault="004F4CC5" w:rsidP="004F4CC5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8"/>
          <w:szCs w:val="28"/>
          <w:lang w:eastAsia="ru-RU"/>
        </w:rPr>
      </w:pPr>
      <w:r w:rsidRPr="004F4CC5">
        <w:rPr>
          <w:rFonts w:ascii="Arial" w:eastAsia="Times New Roman" w:hAnsi="Arial" w:cs="Arial"/>
          <w:color w:val="2A2928"/>
          <w:sz w:val="28"/>
          <w:szCs w:val="28"/>
          <w:lang w:eastAsia="ru-RU"/>
        </w:rPr>
        <w:t>____________</w:t>
      </w:r>
    </w:p>
    <w:p w:rsidR="00684EE2" w:rsidRPr="004F4CC5" w:rsidRDefault="00684EE2">
      <w:pPr>
        <w:rPr>
          <w:sz w:val="28"/>
          <w:szCs w:val="28"/>
        </w:rPr>
      </w:pPr>
    </w:p>
    <w:sectPr w:rsidR="00684EE2" w:rsidRPr="004F4CC5" w:rsidSect="003F00DC">
      <w:headerReference w:type="default" r:id="rId9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DF5" w:rsidRDefault="00EE2DF5" w:rsidP="003F00DC">
      <w:pPr>
        <w:spacing w:after="0" w:line="240" w:lineRule="auto"/>
      </w:pPr>
      <w:r>
        <w:separator/>
      </w:r>
    </w:p>
  </w:endnote>
  <w:endnote w:type="continuationSeparator" w:id="0">
    <w:p w:rsidR="00EE2DF5" w:rsidRDefault="00EE2DF5" w:rsidP="003F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DF5" w:rsidRDefault="00EE2DF5" w:rsidP="003F00DC">
      <w:pPr>
        <w:spacing w:after="0" w:line="240" w:lineRule="auto"/>
      </w:pPr>
      <w:r>
        <w:separator/>
      </w:r>
    </w:p>
  </w:footnote>
  <w:footnote w:type="continuationSeparator" w:id="0">
    <w:p w:rsidR="00EE2DF5" w:rsidRDefault="00EE2DF5" w:rsidP="003F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8901"/>
      <w:docPartObj>
        <w:docPartGallery w:val="Page Numbers (Top of Page)"/>
        <w:docPartUnique/>
      </w:docPartObj>
    </w:sdtPr>
    <w:sdtContent>
      <w:p w:rsidR="003F00DC" w:rsidRDefault="003F00DC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F00DC" w:rsidRDefault="003F00D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CC5"/>
    <w:rsid w:val="00195110"/>
    <w:rsid w:val="00394196"/>
    <w:rsid w:val="003F00DC"/>
    <w:rsid w:val="004B0D65"/>
    <w:rsid w:val="004F4CC5"/>
    <w:rsid w:val="00684EE2"/>
    <w:rsid w:val="009A5E07"/>
    <w:rsid w:val="00EE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E2"/>
  </w:style>
  <w:style w:type="paragraph" w:styleId="2">
    <w:name w:val="heading 2"/>
    <w:basedOn w:val="a"/>
    <w:link w:val="20"/>
    <w:uiPriority w:val="9"/>
    <w:qFormat/>
    <w:rsid w:val="004F4C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F4C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C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4C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rsid w:val="004F4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4F4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4F4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F4C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C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00DC"/>
  </w:style>
  <w:style w:type="paragraph" w:styleId="a8">
    <w:name w:val="footer"/>
    <w:basedOn w:val="a"/>
    <w:link w:val="a9"/>
    <w:uiPriority w:val="99"/>
    <w:semiHidden/>
    <w:unhideWhenUsed/>
    <w:rsid w:val="003F0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455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31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1346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808B8-D7C1-450E-B53B-D086A485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1596</Words>
  <Characters>9101</Characters>
  <Application>Microsoft Office Word</Application>
  <DocSecurity>0</DocSecurity>
  <Lines>75</Lines>
  <Paragraphs>21</Paragraphs>
  <ScaleCrop>false</ScaleCrop>
  <Company/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4</cp:revision>
  <dcterms:created xsi:type="dcterms:W3CDTF">2021-01-21T11:50:00Z</dcterms:created>
  <dcterms:modified xsi:type="dcterms:W3CDTF">2021-01-21T11:53:00Z</dcterms:modified>
</cp:coreProperties>
</file>